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D2" w:rsidRPr="00200296" w:rsidRDefault="00B748D2" w:rsidP="009B36B3">
      <w:pPr>
        <w:jc w:val="center"/>
        <w:rPr>
          <w:rFonts w:ascii="Century Gothic" w:hAnsi="Century Gothic" w:cs="Tahoma"/>
          <w:b/>
        </w:rPr>
      </w:pPr>
    </w:p>
    <w:p w:rsidR="00200296" w:rsidRPr="00200296" w:rsidRDefault="00200296" w:rsidP="009B36B3">
      <w:pPr>
        <w:jc w:val="center"/>
        <w:rPr>
          <w:rFonts w:ascii="Century Gothic" w:hAnsi="Century Gothic" w:cs="Tahoma"/>
          <w:b/>
        </w:rPr>
      </w:pPr>
    </w:p>
    <w:p w:rsidR="00200296" w:rsidRPr="00200296" w:rsidRDefault="00200296" w:rsidP="009B36B3">
      <w:pPr>
        <w:jc w:val="center"/>
        <w:rPr>
          <w:rFonts w:ascii="Century Gothic" w:hAnsi="Century Gothic" w:cs="Tahoma"/>
          <w:b/>
        </w:rPr>
      </w:pPr>
    </w:p>
    <w:p w:rsidR="00B378F0" w:rsidRPr="008F308F" w:rsidRDefault="00B378F0" w:rsidP="00B378F0">
      <w:pPr>
        <w:pStyle w:val="Cabealho"/>
        <w:jc w:val="center"/>
        <w:rPr>
          <w:rFonts w:ascii="Century Gothic" w:hAnsi="Century Gothic" w:cs="Tahoma"/>
          <w:b/>
          <w:sz w:val="28"/>
          <w:szCs w:val="28"/>
        </w:rPr>
      </w:pPr>
      <w:r w:rsidRPr="008F308F">
        <w:rPr>
          <w:rFonts w:ascii="Century Gothic" w:hAnsi="Century Gothic" w:cs="Tahoma"/>
          <w:b/>
          <w:sz w:val="28"/>
          <w:szCs w:val="28"/>
        </w:rPr>
        <w:t xml:space="preserve">XI REUNIÃO DOS MINISTROS DO TRABALHO E </w:t>
      </w:r>
    </w:p>
    <w:p w:rsidR="00B378F0" w:rsidRPr="008F308F" w:rsidRDefault="00B378F0" w:rsidP="00B378F0">
      <w:pPr>
        <w:pStyle w:val="Cabealho"/>
        <w:jc w:val="center"/>
        <w:rPr>
          <w:rFonts w:ascii="Century Gothic" w:hAnsi="Century Gothic" w:cs="Tahoma"/>
          <w:b/>
          <w:sz w:val="22"/>
          <w:szCs w:val="22"/>
        </w:rPr>
      </w:pPr>
      <w:r w:rsidRPr="008F308F">
        <w:rPr>
          <w:rFonts w:ascii="Century Gothic" w:hAnsi="Century Gothic" w:cs="Tahoma"/>
          <w:b/>
          <w:sz w:val="28"/>
          <w:szCs w:val="28"/>
        </w:rPr>
        <w:t>DOS ASSUNTOS SOCIAIS DA CPLP (RMTAS)</w:t>
      </w:r>
    </w:p>
    <w:p w:rsidR="00B378F0" w:rsidRPr="008F308F" w:rsidRDefault="00B378F0" w:rsidP="00B378F0">
      <w:pPr>
        <w:pStyle w:val="Cabealho"/>
        <w:jc w:val="center"/>
        <w:rPr>
          <w:rFonts w:ascii="Century Gothic" w:hAnsi="Century Gothic" w:cs="Tahoma"/>
          <w:sz w:val="22"/>
          <w:szCs w:val="22"/>
        </w:rPr>
      </w:pPr>
      <w:r w:rsidRPr="008F308F">
        <w:rPr>
          <w:rFonts w:ascii="Century Gothic" w:hAnsi="Century Gothic" w:cs="Tahoma"/>
          <w:sz w:val="22"/>
          <w:szCs w:val="22"/>
        </w:rPr>
        <w:t xml:space="preserve">28 </w:t>
      </w:r>
      <w:proofErr w:type="gramStart"/>
      <w:r w:rsidRPr="008F308F">
        <w:rPr>
          <w:rFonts w:ascii="Century Gothic" w:hAnsi="Century Gothic" w:cs="Tahoma"/>
          <w:sz w:val="22"/>
          <w:szCs w:val="22"/>
        </w:rPr>
        <w:t>a</w:t>
      </w:r>
      <w:proofErr w:type="gramEnd"/>
      <w:r w:rsidRPr="008F308F">
        <w:rPr>
          <w:rFonts w:ascii="Century Gothic" w:hAnsi="Century Gothic" w:cs="Tahoma"/>
          <w:sz w:val="22"/>
          <w:szCs w:val="22"/>
        </w:rPr>
        <w:t xml:space="preserve"> 30 de Março de 2011, Luanda – Angola</w:t>
      </w:r>
    </w:p>
    <w:p w:rsidR="00B74B8C" w:rsidRPr="00200296" w:rsidRDefault="00B74B8C" w:rsidP="00B74B8C">
      <w:pPr>
        <w:rPr>
          <w:rFonts w:ascii="Century Gothic" w:hAnsi="Century Gothic" w:cs="Tahoma"/>
          <w:b/>
        </w:rPr>
      </w:pPr>
    </w:p>
    <w:p w:rsidR="008F308F" w:rsidRDefault="008F308F" w:rsidP="00B74B8C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9B3B9D" w:rsidRPr="009B3B9D" w:rsidRDefault="009B3B9D" w:rsidP="00B74B8C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9B3B9D">
        <w:rPr>
          <w:rFonts w:ascii="Century Gothic" w:hAnsi="Century Gothic" w:cs="Tahoma"/>
          <w:b/>
          <w:sz w:val="28"/>
          <w:szCs w:val="28"/>
        </w:rPr>
        <w:t>Acordo Multilateral de Previdência Social da CPLP</w:t>
      </w:r>
    </w:p>
    <w:p w:rsidR="009B3B9D" w:rsidRDefault="009B3B9D" w:rsidP="00B74B8C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9B3B9D" w:rsidRDefault="009B3B9D" w:rsidP="00B74B8C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B74B8C" w:rsidRPr="00200296" w:rsidRDefault="00B74B8C" w:rsidP="00B74B8C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200296">
        <w:rPr>
          <w:rFonts w:ascii="Century Gothic" w:hAnsi="Century Gothic" w:cs="Tahoma"/>
          <w:b/>
          <w:sz w:val="22"/>
          <w:szCs w:val="22"/>
        </w:rPr>
        <w:t>Ponto de Situação</w:t>
      </w:r>
    </w:p>
    <w:p w:rsidR="00B748D2" w:rsidRDefault="00B748D2" w:rsidP="00B748D2">
      <w:pPr>
        <w:jc w:val="center"/>
        <w:rPr>
          <w:rFonts w:ascii="Century Gothic" w:hAnsi="Century Gothic" w:cs="Tahoma"/>
          <w:b/>
        </w:rPr>
      </w:pPr>
    </w:p>
    <w:p w:rsidR="00200296" w:rsidRPr="00083E93" w:rsidRDefault="00200296" w:rsidP="00B748D2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1A3AF4" w:rsidRPr="00083E93" w:rsidRDefault="001A3AF4" w:rsidP="00B748D2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1A3AF4" w:rsidRPr="00083E93" w:rsidRDefault="008702AD" w:rsidP="008702AD">
      <w:pPr>
        <w:pStyle w:val="PargrafodaLista"/>
        <w:numPr>
          <w:ilvl w:val="0"/>
          <w:numId w:val="29"/>
        </w:numPr>
        <w:jc w:val="both"/>
        <w:rPr>
          <w:rFonts w:ascii="Century Gothic" w:hAnsi="Century Gothic" w:cs="Tahoma"/>
          <w:b/>
        </w:rPr>
      </w:pPr>
      <w:r w:rsidRPr="00083E93">
        <w:rPr>
          <w:rFonts w:ascii="Century Gothic" w:hAnsi="Century Gothic" w:cs="Tahoma"/>
          <w:b/>
        </w:rPr>
        <w:t>Introdução</w:t>
      </w:r>
    </w:p>
    <w:p w:rsidR="008702AD" w:rsidRPr="00083E93" w:rsidRDefault="008702AD" w:rsidP="00B748D2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1A3AF4" w:rsidRPr="00083E93" w:rsidRDefault="001A3AF4" w:rsidP="001A3AF4">
      <w:pPr>
        <w:jc w:val="both"/>
        <w:rPr>
          <w:rFonts w:ascii="Century Gothic" w:hAnsi="Century Gothic" w:cs="Tahoma"/>
          <w:sz w:val="22"/>
          <w:szCs w:val="22"/>
        </w:rPr>
      </w:pPr>
      <w:r w:rsidRPr="00083E93">
        <w:rPr>
          <w:rFonts w:ascii="Century Gothic" w:hAnsi="Century Gothic" w:cs="Tahoma"/>
          <w:sz w:val="22"/>
          <w:szCs w:val="22"/>
        </w:rPr>
        <w:t xml:space="preserve">O 14º Ponto da Declaração de Luanda sobre a Reunião supra refere: </w:t>
      </w:r>
    </w:p>
    <w:p w:rsidR="001A3AF4" w:rsidRPr="00083E93" w:rsidRDefault="001A3AF4" w:rsidP="001A3AF4">
      <w:pPr>
        <w:jc w:val="both"/>
        <w:rPr>
          <w:rFonts w:ascii="Century Gothic" w:hAnsi="Century Gothic" w:cs="Tahoma"/>
          <w:sz w:val="22"/>
          <w:szCs w:val="22"/>
        </w:rPr>
      </w:pPr>
    </w:p>
    <w:p w:rsidR="001A3AF4" w:rsidRPr="00083E93" w:rsidRDefault="008F308F" w:rsidP="008F308F">
      <w:pPr>
        <w:ind w:left="426"/>
        <w:jc w:val="both"/>
        <w:rPr>
          <w:rFonts w:ascii="Century Gothic" w:hAnsi="Century Gothic" w:cs="Tahoma"/>
          <w:sz w:val="22"/>
          <w:szCs w:val="22"/>
        </w:rPr>
      </w:pPr>
      <w:r w:rsidRPr="00083E93">
        <w:rPr>
          <w:rFonts w:ascii="Century Gothic" w:hAnsi="Century Gothic" w:cs="Arial"/>
          <w:sz w:val="22"/>
          <w:szCs w:val="22"/>
        </w:rPr>
        <w:t>“</w:t>
      </w:r>
      <w:r w:rsidR="001A3AF4" w:rsidRPr="00083E93">
        <w:rPr>
          <w:rFonts w:ascii="Century Gothic" w:hAnsi="Century Gothic" w:cs="Arial"/>
          <w:sz w:val="22"/>
          <w:szCs w:val="22"/>
        </w:rPr>
        <w:t>As Ministras e os Ministros do Trabalho e dos Assuntos Sociais dos Países da Comunidade de Língua Portuguesa – CPLP, reunidos em Luanda, de 28 a 30 de Março de 2011 (…) deliberam (…)</w:t>
      </w:r>
    </w:p>
    <w:p w:rsidR="001A3AF4" w:rsidRPr="00083E93" w:rsidRDefault="001A3AF4" w:rsidP="001A3AF4">
      <w:pPr>
        <w:jc w:val="both"/>
        <w:rPr>
          <w:rFonts w:ascii="Century Gothic" w:hAnsi="Century Gothic" w:cs="Tahoma"/>
          <w:sz w:val="22"/>
          <w:szCs w:val="22"/>
        </w:rPr>
      </w:pPr>
    </w:p>
    <w:p w:rsidR="001A3AF4" w:rsidRPr="00083E93" w:rsidRDefault="001A3AF4" w:rsidP="00B23F60">
      <w:pPr>
        <w:pStyle w:val="PargrafodaLista"/>
        <w:tabs>
          <w:tab w:val="left" w:pos="851"/>
        </w:tabs>
        <w:spacing w:after="0" w:line="240" w:lineRule="auto"/>
        <w:ind w:left="1416"/>
        <w:jc w:val="both"/>
        <w:rPr>
          <w:rFonts w:ascii="Century Gothic" w:hAnsi="Century Gothic" w:cs="Arial"/>
          <w:bCs/>
          <w:iCs/>
        </w:rPr>
      </w:pPr>
      <w:r w:rsidRPr="00083E93">
        <w:rPr>
          <w:rFonts w:ascii="Century Gothic" w:hAnsi="Century Gothic" w:cs="Arial"/>
          <w:bCs/>
          <w:i/>
          <w:iCs/>
        </w:rPr>
        <w:t xml:space="preserve">Designar um Grupo de Trabalho integrado por Angola, Brasil, Moçambique e Timor-Leste, especificamente incumbido da tarefa de colher junto aos demais Estados membros da CPLP contribuições e sugestões com vista ao aprimoramento do texto de </w:t>
      </w:r>
      <w:r w:rsidRPr="00083E93">
        <w:rPr>
          <w:rFonts w:ascii="Century Gothic" w:hAnsi="Century Gothic" w:cs="Arial"/>
          <w:bCs/>
          <w:i/>
          <w:iCs/>
          <w:u w:val="single"/>
        </w:rPr>
        <w:t>Acordo Multilateral de Previdência Social da CPLP</w:t>
      </w:r>
      <w:r w:rsidRPr="00083E93">
        <w:rPr>
          <w:rFonts w:ascii="Century Gothic" w:hAnsi="Century Gothic" w:cs="Arial"/>
          <w:bCs/>
          <w:i/>
          <w:iCs/>
        </w:rPr>
        <w:t xml:space="preserve"> que promoverá a ampliação da cobertura de </w:t>
      </w:r>
      <w:r w:rsidR="008F308F" w:rsidRPr="00083E93">
        <w:rPr>
          <w:rFonts w:ascii="Century Gothic" w:hAnsi="Century Gothic" w:cs="Arial"/>
          <w:bCs/>
          <w:i/>
          <w:iCs/>
        </w:rPr>
        <w:t>proteção</w:t>
      </w:r>
      <w:r w:rsidRPr="00083E93">
        <w:rPr>
          <w:rFonts w:ascii="Century Gothic" w:hAnsi="Century Gothic" w:cs="Arial"/>
          <w:bCs/>
          <w:i/>
          <w:iCs/>
        </w:rPr>
        <w:t xml:space="preserve"> social ao trabalhador migrante no âmbito da Comunidade; o mandato do Grupo Técnico prevê que a tarefa que lhe é atribuída deverá estar concluída a tempo da assinatura do referido instrumento multilateral durante a XII RMTAS;</w:t>
      </w:r>
      <w:r w:rsidR="008F308F" w:rsidRPr="00083E93">
        <w:rPr>
          <w:rFonts w:ascii="Century Gothic" w:hAnsi="Century Gothic" w:cs="Arial"/>
          <w:bCs/>
          <w:iCs/>
        </w:rPr>
        <w:t xml:space="preserve"> (….)</w:t>
      </w:r>
    </w:p>
    <w:p w:rsidR="008F308F" w:rsidRPr="00083E93" w:rsidRDefault="008F308F" w:rsidP="00B23F60">
      <w:pPr>
        <w:pStyle w:val="PargrafodaLista"/>
        <w:tabs>
          <w:tab w:val="left" w:pos="851"/>
        </w:tabs>
        <w:spacing w:after="0" w:line="240" w:lineRule="auto"/>
        <w:ind w:left="1416"/>
        <w:jc w:val="both"/>
        <w:rPr>
          <w:rFonts w:ascii="Century Gothic" w:hAnsi="Century Gothic" w:cs="Arial"/>
          <w:bCs/>
          <w:iCs/>
        </w:rPr>
      </w:pPr>
    </w:p>
    <w:p w:rsidR="008F308F" w:rsidRPr="00083E93" w:rsidRDefault="008F308F" w:rsidP="00B23F60">
      <w:pPr>
        <w:pStyle w:val="PargrafodaLista"/>
        <w:tabs>
          <w:tab w:val="left" w:pos="851"/>
        </w:tabs>
        <w:spacing w:after="0" w:line="240" w:lineRule="auto"/>
        <w:ind w:left="1416"/>
        <w:jc w:val="both"/>
        <w:rPr>
          <w:rFonts w:ascii="Century Gothic" w:hAnsi="Century Gothic" w:cs="Arial"/>
          <w:bCs/>
          <w:iCs/>
        </w:rPr>
      </w:pPr>
      <w:proofErr w:type="gramStart"/>
      <w:r w:rsidRPr="00083E93">
        <w:rPr>
          <w:rFonts w:ascii="Century Gothic" w:hAnsi="Century Gothic" w:cs="Arial"/>
          <w:bCs/>
          <w:iCs/>
        </w:rPr>
        <w:t>e</w:t>
      </w:r>
      <w:proofErr w:type="gramEnd"/>
    </w:p>
    <w:p w:rsidR="008F308F" w:rsidRPr="00083E93" w:rsidRDefault="008F308F" w:rsidP="00B23F60">
      <w:pPr>
        <w:pStyle w:val="PargrafodaLista"/>
        <w:tabs>
          <w:tab w:val="left" w:pos="851"/>
        </w:tabs>
        <w:spacing w:after="0" w:line="240" w:lineRule="auto"/>
        <w:ind w:left="1416"/>
        <w:jc w:val="both"/>
        <w:rPr>
          <w:rFonts w:ascii="Century Gothic" w:hAnsi="Century Gothic" w:cs="Arial"/>
          <w:bCs/>
          <w:iCs/>
        </w:rPr>
      </w:pPr>
    </w:p>
    <w:p w:rsidR="008702AD" w:rsidRPr="00083E93" w:rsidRDefault="008702AD" w:rsidP="00B23F60">
      <w:pPr>
        <w:tabs>
          <w:tab w:val="left" w:pos="851"/>
        </w:tabs>
        <w:ind w:left="991"/>
        <w:jc w:val="both"/>
        <w:rPr>
          <w:rFonts w:ascii="Century Gothic" w:hAnsi="Century Gothic" w:cs="Arial"/>
          <w:bCs/>
          <w:i/>
          <w:iCs/>
          <w:sz w:val="22"/>
          <w:szCs w:val="22"/>
        </w:rPr>
      </w:pPr>
      <w:r w:rsidRPr="00083E93">
        <w:rPr>
          <w:rFonts w:ascii="Century Gothic" w:hAnsi="Century Gothic" w:cs="Arial"/>
          <w:bCs/>
          <w:i/>
          <w:iCs/>
          <w:sz w:val="22"/>
          <w:szCs w:val="22"/>
        </w:rPr>
        <w:tab/>
        <w:t>Aprovar o Plano de Ação de Luanda</w:t>
      </w:r>
      <w:r w:rsidR="00B23F60">
        <w:rPr>
          <w:rFonts w:ascii="Century Gothic" w:hAnsi="Century Gothic" w:cs="Arial"/>
          <w:bCs/>
          <w:i/>
          <w:iCs/>
          <w:sz w:val="22"/>
          <w:szCs w:val="22"/>
        </w:rPr>
        <w:t xml:space="preserve"> (…</w:t>
      </w:r>
      <w:proofErr w:type="gramStart"/>
      <w:r w:rsidR="00B23F60">
        <w:rPr>
          <w:rFonts w:ascii="Century Gothic" w:hAnsi="Century Gothic" w:cs="Arial"/>
          <w:bCs/>
          <w:i/>
          <w:iCs/>
          <w:sz w:val="22"/>
          <w:szCs w:val="22"/>
        </w:rPr>
        <w:t>)</w:t>
      </w:r>
      <w:proofErr w:type="gramEnd"/>
      <w:r w:rsidRPr="00083E93">
        <w:rPr>
          <w:rFonts w:ascii="Century Gothic" w:hAnsi="Century Gothic" w:cs="Arial"/>
          <w:bCs/>
          <w:i/>
          <w:iCs/>
          <w:sz w:val="22"/>
          <w:szCs w:val="22"/>
        </w:rPr>
        <w:t>”</w:t>
      </w:r>
    </w:p>
    <w:p w:rsidR="008702AD" w:rsidRPr="00083E93" w:rsidRDefault="008702AD" w:rsidP="008702AD">
      <w:pPr>
        <w:tabs>
          <w:tab w:val="left" w:pos="851"/>
        </w:tabs>
        <w:ind w:left="426"/>
        <w:jc w:val="both"/>
        <w:rPr>
          <w:rFonts w:ascii="Century Gothic" w:hAnsi="Century Gothic" w:cs="Arial"/>
          <w:bCs/>
          <w:i/>
          <w:iCs/>
          <w:sz w:val="22"/>
          <w:szCs w:val="22"/>
        </w:rPr>
      </w:pPr>
    </w:p>
    <w:p w:rsidR="008702AD" w:rsidRPr="00083E93" w:rsidRDefault="008702AD" w:rsidP="008702AD">
      <w:pPr>
        <w:tabs>
          <w:tab w:val="left" w:pos="851"/>
        </w:tabs>
        <w:ind w:left="426"/>
        <w:jc w:val="both"/>
        <w:rPr>
          <w:rFonts w:ascii="Century Gothic" w:hAnsi="Century Gothic" w:cs="Arial"/>
          <w:bCs/>
          <w:i/>
          <w:iCs/>
          <w:sz w:val="22"/>
          <w:szCs w:val="22"/>
        </w:rPr>
      </w:pPr>
    </w:p>
    <w:p w:rsidR="00083E93" w:rsidRPr="00083E93" w:rsidRDefault="008702AD" w:rsidP="008702AD">
      <w:pPr>
        <w:jc w:val="both"/>
        <w:rPr>
          <w:rFonts w:ascii="Century Gothic" w:hAnsi="Century Gothic" w:cs="Tahoma"/>
          <w:sz w:val="22"/>
          <w:szCs w:val="22"/>
        </w:rPr>
      </w:pPr>
      <w:r w:rsidRPr="00083E93">
        <w:rPr>
          <w:rFonts w:ascii="Century Gothic" w:hAnsi="Century Gothic" w:cs="Tahoma"/>
          <w:sz w:val="22"/>
          <w:szCs w:val="22"/>
        </w:rPr>
        <w:t xml:space="preserve">Por seu turno, o referido Plano de Ação de Luanda, estabelece a criação de </w:t>
      </w:r>
      <w:r w:rsidR="00083E93" w:rsidRPr="00083E93">
        <w:rPr>
          <w:rFonts w:ascii="Century Gothic" w:hAnsi="Century Gothic" w:cs="Tahoma"/>
          <w:sz w:val="22"/>
          <w:szCs w:val="22"/>
        </w:rPr>
        <w:t xml:space="preserve">Grupos de Monitoramento </w:t>
      </w:r>
      <w:r w:rsidR="00083E93">
        <w:rPr>
          <w:rFonts w:ascii="Century Gothic" w:hAnsi="Century Gothic" w:cs="Tahoma"/>
          <w:sz w:val="22"/>
          <w:szCs w:val="22"/>
        </w:rPr>
        <w:t xml:space="preserve">nos seguintes moldes: </w:t>
      </w:r>
    </w:p>
    <w:p w:rsidR="00083E93" w:rsidRPr="00083E93" w:rsidRDefault="00083E93" w:rsidP="008702AD">
      <w:pPr>
        <w:jc w:val="both"/>
        <w:rPr>
          <w:rFonts w:ascii="Century Gothic" w:hAnsi="Century Gothic" w:cs="Tahoma"/>
          <w:sz w:val="22"/>
          <w:szCs w:val="22"/>
        </w:rPr>
      </w:pPr>
    </w:p>
    <w:p w:rsidR="008702AD" w:rsidRDefault="00083E93" w:rsidP="00B23F60">
      <w:pPr>
        <w:ind w:left="1416"/>
        <w:jc w:val="both"/>
        <w:rPr>
          <w:rFonts w:ascii="Century Gothic" w:hAnsi="Century Gothic" w:cs="Arial"/>
          <w:i/>
          <w:sz w:val="22"/>
          <w:szCs w:val="22"/>
        </w:rPr>
      </w:pPr>
      <w:r w:rsidRPr="00083E93">
        <w:rPr>
          <w:rFonts w:ascii="Century Gothic" w:hAnsi="Century Gothic" w:cs="Tahoma"/>
          <w:sz w:val="22"/>
          <w:szCs w:val="22"/>
        </w:rPr>
        <w:t>“</w:t>
      </w:r>
      <w:r w:rsidR="008702AD" w:rsidRPr="00083E93">
        <w:rPr>
          <w:rFonts w:ascii="Century Gothic" w:hAnsi="Century Gothic" w:cs="Arial"/>
          <w:sz w:val="22"/>
          <w:szCs w:val="22"/>
        </w:rPr>
        <w:t xml:space="preserve">São criados dois </w:t>
      </w:r>
      <w:r w:rsidR="008702AD" w:rsidRPr="00083E93">
        <w:rPr>
          <w:rFonts w:ascii="Century Gothic" w:hAnsi="Century Gothic" w:cs="Arial"/>
          <w:i/>
          <w:sz w:val="22"/>
          <w:szCs w:val="22"/>
          <w:u w:val="single"/>
        </w:rPr>
        <w:t>Grupos de Monitoramento</w:t>
      </w:r>
      <w:r w:rsidR="008702AD" w:rsidRPr="00083E93">
        <w:rPr>
          <w:rFonts w:ascii="Century Gothic" w:hAnsi="Century Gothic" w:cs="Arial"/>
          <w:sz w:val="22"/>
          <w:szCs w:val="22"/>
        </w:rPr>
        <w:t xml:space="preserve">, cujo </w:t>
      </w:r>
      <w:r w:rsidRPr="00083E93">
        <w:rPr>
          <w:rFonts w:ascii="Century Gothic" w:hAnsi="Century Gothic" w:cs="Arial"/>
          <w:sz w:val="22"/>
          <w:szCs w:val="22"/>
        </w:rPr>
        <w:t>objetivo</w:t>
      </w:r>
      <w:r w:rsidR="008702AD" w:rsidRPr="00083E93">
        <w:rPr>
          <w:rFonts w:ascii="Century Gothic" w:hAnsi="Century Gothic" w:cs="Arial"/>
          <w:sz w:val="22"/>
          <w:szCs w:val="22"/>
        </w:rPr>
        <w:t xml:space="preserve"> é avaliar as deliberações saídas da XI Reunião de Ministros do Trabalho e Assuntos Sociais no domínio da formação profissional e integração social, nomeadamente: </w:t>
      </w:r>
      <w:r>
        <w:rPr>
          <w:rFonts w:ascii="Century Gothic" w:hAnsi="Century Gothic" w:cs="Arial"/>
          <w:sz w:val="22"/>
          <w:szCs w:val="22"/>
        </w:rPr>
        <w:t xml:space="preserve">(…) o </w:t>
      </w:r>
      <w:r w:rsidR="008702AD" w:rsidRPr="00083E93">
        <w:rPr>
          <w:rFonts w:ascii="Century Gothic" w:hAnsi="Century Gothic" w:cs="Arial"/>
          <w:i/>
          <w:sz w:val="22"/>
          <w:szCs w:val="22"/>
        </w:rPr>
        <w:t>Grupo de Monitoramento 2: Programas no domínio da Integração Social na CPLP, sob a coordenação do Ministério da Previdência Social da</w:t>
      </w:r>
      <w:r w:rsidR="00B23F60">
        <w:rPr>
          <w:rFonts w:ascii="Century Gothic" w:hAnsi="Century Gothic" w:cs="Arial"/>
          <w:i/>
          <w:sz w:val="22"/>
          <w:szCs w:val="22"/>
        </w:rPr>
        <w:t xml:space="preserve"> República Federativa do Brasil (…</w:t>
      </w:r>
      <w:proofErr w:type="gramStart"/>
      <w:r w:rsidR="00B23F60">
        <w:rPr>
          <w:rFonts w:ascii="Century Gothic" w:hAnsi="Century Gothic" w:cs="Arial"/>
          <w:i/>
          <w:sz w:val="22"/>
          <w:szCs w:val="22"/>
        </w:rPr>
        <w:t>)</w:t>
      </w:r>
      <w:proofErr w:type="gramEnd"/>
      <w:r w:rsidR="00B23F60">
        <w:rPr>
          <w:rFonts w:ascii="Century Gothic" w:hAnsi="Century Gothic" w:cs="Arial"/>
          <w:i/>
          <w:sz w:val="22"/>
          <w:szCs w:val="22"/>
        </w:rPr>
        <w:t>”</w:t>
      </w:r>
    </w:p>
    <w:p w:rsidR="00083E93" w:rsidRDefault="00083E93" w:rsidP="00083E93">
      <w:pPr>
        <w:ind w:left="708"/>
        <w:jc w:val="both"/>
        <w:rPr>
          <w:rFonts w:ascii="Century Gothic" w:hAnsi="Century Gothic" w:cs="Arial"/>
          <w:i/>
          <w:sz w:val="22"/>
          <w:szCs w:val="22"/>
        </w:rPr>
      </w:pPr>
    </w:p>
    <w:p w:rsidR="00B23F60" w:rsidRDefault="00083E93" w:rsidP="00B23F60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 xml:space="preserve">Quanto às Diretrizes para o funcionamento dos Grupos de Monitoramento, estabelece o documento </w:t>
      </w:r>
      <w:proofErr w:type="gramStart"/>
      <w:r>
        <w:rPr>
          <w:rFonts w:ascii="Century Gothic" w:hAnsi="Century Gothic" w:cs="Arial"/>
          <w:sz w:val="22"/>
          <w:szCs w:val="22"/>
        </w:rPr>
        <w:t>que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: </w:t>
      </w:r>
    </w:p>
    <w:p w:rsidR="008702AD" w:rsidRPr="00083E93" w:rsidRDefault="00083E93" w:rsidP="00B23F60">
      <w:pPr>
        <w:ind w:left="1416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B23F60">
        <w:rPr>
          <w:rFonts w:ascii="Century Gothic" w:hAnsi="Century Gothic" w:cs="Arial"/>
          <w:i/>
          <w:sz w:val="22"/>
          <w:szCs w:val="22"/>
        </w:rPr>
        <w:t>“(</w:t>
      </w:r>
      <w:proofErr w:type="gramEnd"/>
      <w:r w:rsidRPr="00B23F60">
        <w:rPr>
          <w:rFonts w:ascii="Century Gothic" w:hAnsi="Century Gothic" w:cs="Arial"/>
          <w:i/>
          <w:sz w:val="22"/>
          <w:szCs w:val="22"/>
        </w:rPr>
        <w:t xml:space="preserve">…) </w:t>
      </w:r>
      <w:r w:rsidR="008702AD" w:rsidRPr="00B23F60">
        <w:rPr>
          <w:rFonts w:ascii="Century Gothic" w:hAnsi="Century Gothic" w:cs="Arial"/>
          <w:i/>
          <w:sz w:val="22"/>
          <w:szCs w:val="22"/>
        </w:rPr>
        <w:t xml:space="preserve">Os Grupos de Monitoramento serão coordenados pelos Ministérios escolhidos por esta Reunião, que poderão desempenhar as suas funções </w:t>
      </w:r>
      <w:r w:rsidRPr="00B23F60">
        <w:rPr>
          <w:rFonts w:ascii="Century Gothic" w:hAnsi="Century Gothic" w:cs="Arial"/>
          <w:i/>
          <w:sz w:val="22"/>
          <w:szCs w:val="22"/>
        </w:rPr>
        <w:t>diretamente</w:t>
      </w:r>
      <w:r w:rsidR="008702AD" w:rsidRPr="00B23F60">
        <w:rPr>
          <w:rFonts w:ascii="Century Gothic" w:hAnsi="Century Gothic" w:cs="Arial"/>
          <w:i/>
          <w:sz w:val="22"/>
          <w:szCs w:val="22"/>
        </w:rPr>
        <w:t xml:space="preserve"> ou por intermédio de representantes:</w:t>
      </w:r>
      <w:r w:rsidR="00B23F60" w:rsidRPr="00B23F60">
        <w:rPr>
          <w:rFonts w:ascii="Century Gothic" w:hAnsi="Century Gothic" w:cs="Arial"/>
          <w:i/>
          <w:sz w:val="22"/>
          <w:szCs w:val="22"/>
        </w:rPr>
        <w:t xml:space="preserve"> (…) o </w:t>
      </w:r>
      <w:r w:rsidR="008702AD" w:rsidRPr="00B23F60">
        <w:rPr>
          <w:rFonts w:ascii="Century Gothic" w:hAnsi="Century Gothic" w:cs="Arial"/>
          <w:i/>
          <w:sz w:val="22"/>
          <w:szCs w:val="22"/>
        </w:rPr>
        <w:t>Grupo de Monitoramento 2 – deverá compilar, até 3 meses antes da XII Reunião dos Ministros do Trabalho e Assuntos Sociais da CPLP, as estratégias aplicadas por cada País para recomendar políticas que permitam a generalização e o desenvolvimento da integração social.</w:t>
      </w:r>
      <w:r w:rsidR="00B23F60" w:rsidRPr="00B23F60">
        <w:rPr>
          <w:rFonts w:ascii="Century Gothic" w:hAnsi="Century Gothic" w:cs="Arial"/>
          <w:i/>
          <w:sz w:val="22"/>
          <w:szCs w:val="22"/>
        </w:rPr>
        <w:t xml:space="preserve"> (…</w:t>
      </w:r>
      <w:proofErr w:type="gramStart"/>
      <w:r w:rsidR="00B23F60" w:rsidRPr="00B23F60">
        <w:rPr>
          <w:rFonts w:ascii="Century Gothic" w:hAnsi="Century Gothic" w:cs="Arial"/>
          <w:i/>
          <w:sz w:val="22"/>
          <w:szCs w:val="22"/>
        </w:rPr>
        <w:t>)</w:t>
      </w:r>
      <w:proofErr w:type="gramEnd"/>
      <w:r w:rsidR="00B23F60" w:rsidRPr="00B23F60">
        <w:rPr>
          <w:rFonts w:ascii="Century Gothic" w:hAnsi="Century Gothic" w:cs="Arial"/>
          <w:i/>
          <w:sz w:val="22"/>
          <w:szCs w:val="22"/>
        </w:rPr>
        <w:t>”</w:t>
      </w:r>
    </w:p>
    <w:p w:rsidR="008702AD" w:rsidRPr="00083E93" w:rsidRDefault="008702AD" w:rsidP="001A3AF4">
      <w:pPr>
        <w:pStyle w:val="PargrafodaLista"/>
        <w:tabs>
          <w:tab w:val="left" w:pos="851"/>
        </w:tabs>
        <w:spacing w:line="240" w:lineRule="auto"/>
        <w:ind w:left="851" w:hanging="425"/>
        <w:rPr>
          <w:rFonts w:ascii="Century Gothic" w:hAnsi="Century Gothic" w:cs="Arial"/>
          <w:bCs/>
          <w:iCs/>
        </w:rPr>
      </w:pPr>
    </w:p>
    <w:p w:rsidR="00B23F60" w:rsidRDefault="00B23F60" w:rsidP="001A3AF4">
      <w:pPr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Durante a 146ª Reunião Ordinária do Comité de Concertação Permanente, o Representante do Brasil solicitou um ponto de situação sobre estas duas questões.</w:t>
      </w:r>
    </w:p>
    <w:p w:rsidR="00B23F60" w:rsidRDefault="00B23F60" w:rsidP="001A3AF4">
      <w:pPr>
        <w:jc w:val="both"/>
        <w:rPr>
          <w:rFonts w:ascii="Century Gothic" w:hAnsi="Century Gothic" w:cs="Tahoma"/>
          <w:sz w:val="22"/>
          <w:szCs w:val="22"/>
        </w:rPr>
      </w:pPr>
    </w:p>
    <w:p w:rsidR="00B23F60" w:rsidRDefault="00B23F60" w:rsidP="001A3AF4">
      <w:pPr>
        <w:jc w:val="both"/>
        <w:rPr>
          <w:rFonts w:ascii="Century Gothic" w:hAnsi="Century Gothic" w:cs="Tahoma"/>
          <w:sz w:val="22"/>
          <w:szCs w:val="22"/>
        </w:rPr>
      </w:pPr>
    </w:p>
    <w:p w:rsidR="00B23F60" w:rsidRPr="00B23F60" w:rsidRDefault="00B23F60" w:rsidP="00B23F60">
      <w:pPr>
        <w:pStyle w:val="PargrafodaLista"/>
        <w:numPr>
          <w:ilvl w:val="0"/>
          <w:numId w:val="29"/>
        </w:numPr>
        <w:jc w:val="both"/>
        <w:rPr>
          <w:rFonts w:ascii="Century Gothic" w:hAnsi="Century Gothic" w:cs="Tahoma"/>
          <w:b/>
        </w:rPr>
      </w:pPr>
      <w:r w:rsidRPr="00B23F60">
        <w:rPr>
          <w:rFonts w:ascii="Century Gothic" w:hAnsi="Century Gothic" w:cs="Tahoma"/>
          <w:b/>
        </w:rPr>
        <w:t>Ponto de Situação</w:t>
      </w:r>
    </w:p>
    <w:p w:rsidR="00200296" w:rsidRDefault="00200296" w:rsidP="00B748D2">
      <w:pPr>
        <w:jc w:val="center"/>
        <w:rPr>
          <w:rFonts w:ascii="Century Gothic" w:hAnsi="Century Gothic" w:cs="Tahoma"/>
          <w:b/>
        </w:rPr>
      </w:pPr>
    </w:p>
    <w:p w:rsidR="00B23F60" w:rsidRPr="00EC5B2B" w:rsidRDefault="00EC5B2B" w:rsidP="00EC5B2B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EC5B2B">
        <w:rPr>
          <w:rFonts w:ascii="Century Gothic" w:hAnsi="Century Gothic" w:cs="Tahoma"/>
          <w:b/>
          <w:sz w:val="20"/>
          <w:szCs w:val="20"/>
        </w:rPr>
        <w:t>2.1.) Acordo Multilateral de Previdência Social da CPLP</w:t>
      </w:r>
    </w:p>
    <w:p w:rsidR="005871D2" w:rsidRDefault="005871D2" w:rsidP="005871D2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EC5B2B" w:rsidRDefault="00EC5B2B" w:rsidP="005871D2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color w:val="000000" w:themeColor="text1"/>
          <w:sz w:val="22"/>
          <w:szCs w:val="22"/>
        </w:rPr>
        <w:t xml:space="preserve">Esta matéria pode ser sistematizada pela seguinte cronologia: </w:t>
      </w:r>
    </w:p>
    <w:p w:rsidR="00EC5B2B" w:rsidRDefault="00EC5B2B" w:rsidP="000A7481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EC5B2B" w:rsidRDefault="00EC5B2B" w:rsidP="000A7481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 xml:space="preserve">Entre </w:t>
      </w:r>
      <w:r w:rsidRPr="00CC5830">
        <w:rPr>
          <w:rFonts w:ascii="Century Gothic" w:hAnsi="Century Gothic" w:cs="Tahoma"/>
          <w:color w:val="000000" w:themeColor="text1"/>
          <w:u w:val="single"/>
        </w:rPr>
        <w:t>28 e 30 de Março de 2011</w:t>
      </w:r>
      <w:r>
        <w:rPr>
          <w:rFonts w:ascii="Century Gothic" w:hAnsi="Century Gothic" w:cs="Tahoma"/>
          <w:color w:val="000000" w:themeColor="text1"/>
        </w:rPr>
        <w:t>, realiza-se em Luanda a XI RMTAS, na qual é aprovada uma Declaração e um Plano de Ação que deliberam como em 1 se explica;</w:t>
      </w:r>
    </w:p>
    <w:p w:rsidR="000A7481" w:rsidRDefault="000A7481" w:rsidP="000A7481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 xml:space="preserve">A </w:t>
      </w:r>
      <w:r w:rsidRPr="00CC5830">
        <w:rPr>
          <w:rFonts w:ascii="Century Gothic" w:hAnsi="Century Gothic" w:cs="Tahoma"/>
          <w:color w:val="000000" w:themeColor="text1"/>
          <w:u w:val="single"/>
        </w:rPr>
        <w:t>15 e 20 de Abril de 2011</w:t>
      </w:r>
      <w:r>
        <w:rPr>
          <w:rFonts w:ascii="Century Gothic" w:hAnsi="Century Gothic" w:cs="Tahoma"/>
          <w:color w:val="000000" w:themeColor="text1"/>
        </w:rPr>
        <w:t xml:space="preserve">, o Secretariado Executivo da CPLP </w:t>
      </w:r>
      <w:r w:rsidR="00FF3FEB">
        <w:rPr>
          <w:rFonts w:ascii="Century Gothic" w:hAnsi="Century Gothic" w:cs="Tahoma"/>
          <w:color w:val="000000" w:themeColor="text1"/>
        </w:rPr>
        <w:t xml:space="preserve">(SECPLP) </w:t>
      </w:r>
      <w:r>
        <w:rPr>
          <w:rFonts w:ascii="Century Gothic" w:hAnsi="Century Gothic" w:cs="Tahoma"/>
          <w:color w:val="000000" w:themeColor="text1"/>
        </w:rPr>
        <w:t>recebe da Missão do Brasil as NV n.º 32 e 33</w:t>
      </w:r>
      <w:r w:rsidR="004E38F9">
        <w:rPr>
          <w:rFonts w:ascii="Century Gothic" w:hAnsi="Century Gothic" w:cs="Tahoma"/>
          <w:color w:val="000000" w:themeColor="text1"/>
        </w:rPr>
        <w:t xml:space="preserve"> que, respetivamente, informam sobre a constituição do Ponto Focal brasileiro para o tema, solicitando que esse nome seja indicado aos demais Estados que compõem o Grupo de Trabalho criado pela Declaração da reunião em a) e que lhes fosse solicitado o encaminhamento dos nomes e respetivos contactos dos seus pontos focais para início do processo de negociação;</w:t>
      </w:r>
    </w:p>
    <w:p w:rsidR="00EC5B2B" w:rsidRDefault="000A7481" w:rsidP="000A7481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>Pelo facto da presente Reunião possuir um Regimento próprio e ter constituído um Secretariado Técnico Permanente</w:t>
      </w:r>
      <w:r w:rsidR="00CC5830">
        <w:rPr>
          <w:rFonts w:ascii="Century Gothic" w:hAnsi="Century Gothic" w:cs="Tahoma"/>
          <w:color w:val="000000" w:themeColor="text1"/>
        </w:rPr>
        <w:t xml:space="preserve"> (STP)</w:t>
      </w:r>
      <w:r w:rsidR="004E38F9">
        <w:rPr>
          <w:rFonts w:ascii="Century Gothic" w:hAnsi="Century Gothic" w:cs="Tahoma"/>
          <w:color w:val="000000" w:themeColor="text1"/>
        </w:rPr>
        <w:t xml:space="preserve">, que deveria dar seguimento ao tópico acima, o Secretariado Executivo remeteu, a 1 </w:t>
      </w:r>
      <w:r w:rsidR="004E38F9" w:rsidRPr="00CC5830">
        <w:rPr>
          <w:rFonts w:ascii="Century Gothic" w:hAnsi="Century Gothic" w:cs="Tahoma"/>
          <w:color w:val="000000" w:themeColor="text1"/>
          <w:u w:val="single"/>
        </w:rPr>
        <w:t>de Maio de 2011</w:t>
      </w:r>
      <w:r w:rsidR="004E38F9">
        <w:rPr>
          <w:rFonts w:ascii="Century Gothic" w:hAnsi="Century Gothic" w:cs="Tahoma"/>
          <w:color w:val="000000" w:themeColor="text1"/>
        </w:rPr>
        <w:t xml:space="preserve">, </w:t>
      </w:r>
      <w:r w:rsidR="00CC5830">
        <w:rPr>
          <w:rFonts w:ascii="Century Gothic" w:hAnsi="Century Gothic" w:cs="Tahoma"/>
          <w:color w:val="000000" w:themeColor="text1"/>
        </w:rPr>
        <w:t xml:space="preserve">por </w:t>
      </w:r>
      <w:proofErr w:type="gramStart"/>
      <w:r w:rsidR="00CC5830">
        <w:rPr>
          <w:rFonts w:ascii="Century Gothic" w:hAnsi="Century Gothic" w:cs="Tahoma"/>
          <w:color w:val="000000" w:themeColor="text1"/>
        </w:rPr>
        <w:t>email</w:t>
      </w:r>
      <w:proofErr w:type="gramEnd"/>
      <w:r w:rsidR="00CC5830">
        <w:rPr>
          <w:rFonts w:ascii="Century Gothic" w:hAnsi="Century Gothic" w:cs="Tahoma"/>
          <w:color w:val="000000" w:themeColor="text1"/>
        </w:rPr>
        <w:t xml:space="preserve">, </w:t>
      </w:r>
      <w:r w:rsidR="004E38F9">
        <w:rPr>
          <w:rFonts w:ascii="Century Gothic" w:hAnsi="Century Gothic" w:cs="Tahoma"/>
          <w:color w:val="000000" w:themeColor="text1"/>
        </w:rPr>
        <w:t>para o referid</w:t>
      </w:r>
      <w:r w:rsidR="00CC5830">
        <w:rPr>
          <w:rFonts w:ascii="Century Gothic" w:hAnsi="Century Gothic" w:cs="Tahoma"/>
          <w:color w:val="000000" w:themeColor="text1"/>
        </w:rPr>
        <w:t>o STP, a solicitação do Brasil, questionando sobre a eventual indicação de nomes de pontos focais de outros Estados membros;</w:t>
      </w:r>
    </w:p>
    <w:p w:rsidR="00CC5830" w:rsidRDefault="00CC5830" w:rsidP="000A7481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 xml:space="preserve">A </w:t>
      </w:r>
      <w:r w:rsidRPr="00FF4DF3">
        <w:rPr>
          <w:rFonts w:ascii="Century Gothic" w:hAnsi="Century Gothic" w:cs="Tahoma"/>
          <w:color w:val="000000" w:themeColor="text1"/>
          <w:u w:val="single"/>
        </w:rPr>
        <w:t>26 de Maio de 2011</w:t>
      </w:r>
      <w:r>
        <w:rPr>
          <w:rFonts w:ascii="Century Gothic" w:hAnsi="Century Gothic" w:cs="Tahoma"/>
          <w:color w:val="000000" w:themeColor="text1"/>
        </w:rPr>
        <w:t>, o Ministério das Relações Exteriores de Angola (MIREX) endossa esta preocupação junto do Ministério da Administração P</w:t>
      </w:r>
      <w:r w:rsidR="00FF4DF3">
        <w:rPr>
          <w:rFonts w:ascii="Century Gothic" w:hAnsi="Century Gothic" w:cs="Tahoma"/>
          <w:color w:val="000000" w:themeColor="text1"/>
        </w:rPr>
        <w:t xml:space="preserve">ública, Emprego e Segurança Social </w:t>
      </w:r>
      <w:r>
        <w:rPr>
          <w:rFonts w:ascii="Century Gothic" w:hAnsi="Century Gothic" w:cs="Tahoma"/>
          <w:color w:val="000000" w:themeColor="text1"/>
        </w:rPr>
        <w:t>de Angola</w:t>
      </w:r>
      <w:r w:rsidR="00FF4DF3">
        <w:rPr>
          <w:rFonts w:ascii="Century Gothic" w:hAnsi="Century Gothic" w:cs="Tahoma"/>
          <w:color w:val="000000" w:themeColor="text1"/>
        </w:rPr>
        <w:t xml:space="preserve"> (</w:t>
      </w:r>
      <w:r>
        <w:rPr>
          <w:rFonts w:ascii="Century Gothic" w:hAnsi="Century Gothic" w:cs="Tahoma"/>
          <w:color w:val="000000" w:themeColor="text1"/>
        </w:rPr>
        <w:t>MAPESS</w:t>
      </w:r>
      <w:r w:rsidR="00FF4DF3">
        <w:rPr>
          <w:rFonts w:ascii="Century Gothic" w:hAnsi="Century Gothic" w:cs="Tahoma"/>
          <w:color w:val="000000" w:themeColor="text1"/>
        </w:rPr>
        <w:t>), que constituiu o referido STP;</w:t>
      </w:r>
    </w:p>
    <w:p w:rsidR="00FF4DF3" w:rsidRDefault="00FF4DF3" w:rsidP="000A7481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 xml:space="preserve">A </w:t>
      </w:r>
      <w:r w:rsidRPr="00FF4DF3">
        <w:rPr>
          <w:rFonts w:ascii="Century Gothic" w:hAnsi="Century Gothic" w:cs="Tahoma"/>
          <w:color w:val="000000" w:themeColor="text1"/>
          <w:u w:val="single"/>
        </w:rPr>
        <w:t>12 de Julho de 2011</w:t>
      </w:r>
      <w:r>
        <w:rPr>
          <w:rFonts w:ascii="Century Gothic" w:hAnsi="Century Gothic" w:cs="Tahoma"/>
          <w:color w:val="000000" w:themeColor="text1"/>
        </w:rPr>
        <w:t>, o MAPESS responde ao MIREX, sugerindo que este assunto</w:t>
      </w:r>
      <w:proofErr w:type="gramStart"/>
      <w:r>
        <w:rPr>
          <w:rFonts w:ascii="Century Gothic" w:hAnsi="Century Gothic" w:cs="Tahoma"/>
          <w:color w:val="000000" w:themeColor="text1"/>
        </w:rPr>
        <w:t>,</w:t>
      </w:r>
      <w:proofErr w:type="gramEnd"/>
      <w:r>
        <w:rPr>
          <w:rFonts w:ascii="Century Gothic" w:hAnsi="Century Gothic" w:cs="Tahoma"/>
          <w:color w:val="000000" w:themeColor="text1"/>
        </w:rPr>
        <w:t xml:space="preserve"> deva ser encaminhado pela CPLP ou pelas competentes autoridades do Brasil (Ofício 98/MAPESS/DNSS/2011);</w:t>
      </w:r>
    </w:p>
    <w:p w:rsidR="00FF4DF3" w:rsidRDefault="00FF4DF3" w:rsidP="000A7481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 xml:space="preserve">A </w:t>
      </w:r>
      <w:r w:rsidRPr="00FF4DF3">
        <w:rPr>
          <w:rFonts w:ascii="Century Gothic" w:hAnsi="Century Gothic" w:cs="Tahoma"/>
          <w:color w:val="000000" w:themeColor="text1"/>
          <w:u w:val="single"/>
        </w:rPr>
        <w:t>21 de Julho de 2011</w:t>
      </w:r>
      <w:r>
        <w:rPr>
          <w:rFonts w:ascii="Century Gothic" w:hAnsi="Century Gothic" w:cs="Tahoma"/>
          <w:color w:val="000000" w:themeColor="text1"/>
        </w:rPr>
        <w:t>, o Gabinete CPLP do MIREX, informa o SECPLP dessa resposta</w:t>
      </w:r>
      <w:r w:rsidR="00823ECD">
        <w:rPr>
          <w:rFonts w:ascii="Century Gothic" w:hAnsi="Century Gothic" w:cs="Tahoma"/>
          <w:color w:val="000000" w:themeColor="text1"/>
        </w:rPr>
        <w:t xml:space="preserve"> (Ofício 183/GACPLP/MIREX/2011)</w:t>
      </w:r>
      <w:r>
        <w:rPr>
          <w:rFonts w:ascii="Century Gothic" w:hAnsi="Century Gothic" w:cs="Tahoma"/>
          <w:color w:val="000000" w:themeColor="text1"/>
        </w:rPr>
        <w:t>;</w:t>
      </w:r>
    </w:p>
    <w:p w:rsidR="00FF3FEB" w:rsidRDefault="00FF3FEB" w:rsidP="00E81BBD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Century Gothic" w:hAnsi="Century Gothic" w:cs="Tahoma"/>
          <w:color w:val="000000" w:themeColor="text1"/>
        </w:rPr>
      </w:pPr>
      <w:r w:rsidRPr="00FF3FEB">
        <w:rPr>
          <w:rFonts w:ascii="Century Gothic" w:hAnsi="Century Gothic" w:cs="Tahoma"/>
          <w:color w:val="000000" w:themeColor="text1"/>
        </w:rPr>
        <w:t xml:space="preserve">Em </w:t>
      </w:r>
      <w:r w:rsidRPr="00E81BBD">
        <w:rPr>
          <w:rFonts w:ascii="Century Gothic" w:hAnsi="Century Gothic" w:cs="Tahoma"/>
          <w:color w:val="000000" w:themeColor="text1"/>
          <w:u w:val="single"/>
        </w:rPr>
        <w:t>28 de Julho de 2011</w:t>
      </w:r>
      <w:r w:rsidRPr="00FF3FEB">
        <w:rPr>
          <w:rFonts w:ascii="Century Gothic" w:hAnsi="Century Gothic" w:cs="Tahoma"/>
          <w:color w:val="000000" w:themeColor="text1"/>
        </w:rPr>
        <w:t xml:space="preserve">, o SECPLP remete aos EM a NV n.º 333, que anexa toda a correspondência que Angola remeteu sobre o assunto e solicitando que o mesmo possa ser encaminhado aos setores ministeriais competentes </w:t>
      </w:r>
      <w:r w:rsidRPr="00FF3FEB">
        <w:rPr>
          <w:rFonts w:ascii="Century Gothic" w:hAnsi="Century Gothic" w:cs="Tahoma"/>
          <w:color w:val="000000" w:themeColor="text1"/>
        </w:rPr>
        <w:lastRenderedPageBreak/>
        <w:t xml:space="preserve">dos EM e que deles possam surgir comentários e contributos quanto à Proposta de </w:t>
      </w:r>
      <w:r w:rsidRPr="00FF3FEB">
        <w:rPr>
          <w:rFonts w:ascii="Century Gothic" w:hAnsi="Century Gothic" w:cs="Tahoma"/>
          <w:color w:val="000000"/>
        </w:rPr>
        <w:t>Acordo Multilateral de Previdência Social da CPLP</w:t>
      </w:r>
      <w:r>
        <w:rPr>
          <w:rFonts w:ascii="Century Gothic" w:hAnsi="Century Gothic" w:cs="Tahoma"/>
          <w:color w:val="000000" w:themeColor="text1"/>
        </w:rPr>
        <w:t>, que também se anexava</w:t>
      </w:r>
      <w:r w:rsidR="00E81BBD">
        <w:rPr>
          <w:rFonts w:ascii="Century Gothic" w:hAnsi="Century Gothic" w:cs="Tahoma"/>
          <w:color w:val="000000" w:themeColor="text1"/>
        </w:rPr>
        <w:t xml:space="preserve">. Nessa NV era dado um prazo aos EM para resposta, que era o dia 30 de Setembro de 2011. </w:t>
      </w:r>
    </w:p>
    <w:p w:rsidR="00E81BBD" w:rsidRDefault="00E81BBD" w:rsidP="00E81BBD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 xml:space="preserve">O tema é retomado na 146ª Sessão do CCP, a </w:t>
      </w:r>
      <w:r w:rsidRPr="00E81BBD">
        <w:rPr>
          <w:rFonts w:ascii="Century Gothic" w:hAnsi="Century Gothic" w:cs="Tahoma"/>
          <w:color w:val="000000" w:themeColor="text1"/>
          <w:u w:val="single"/>
        </w:rPr>
        <w:t>13 de Outubro de 2011</w:t>
      </w:r>
      <w:r>
        <w:rPr>
          <w:rFonts w:ascii="Century Gothic" w:hAnsi="Century Gothic" w:cs="Tahoma"/>
          <w:color w:val="000000" w:themeColor="text1"/>
        </w:rPr>
        <w:t>, tendo esse Comité sido informado que até à data nenhum EM havia reagido ao tema. Por indicação do CCP, seria feita nova NV sobre o assunto;</w:t>
      </w:r>
    </w:p>
    <w:p w:rsidR="00E81BBD" w:rsidRDefault="00E81BBD" w:rsidP="00E81BBD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 xml:space="preserve">Nesse mesmo dia, o SECPLP prepara a NV.º </w:t>
      </w:r>
      <w:r w:rsidR="00291EF9">
        <w:rPr>
          <w:rFonts w:ascii="Century Gothic" w:hAnsi="Century Gothic" w:cs="Tahoma"/>
          <w:color w:val="000000" w:themeColor="text1"/>
        </w:rPr>
        <w:t>444, que retoma o historial do processo e apela a uma resposta até dia 19 de Outubro de 2011.</w:t>
      </w:r>
    </w:p>
    <w:p w:rsidR="009B3B9D" w:rsidRDefault="009B3B9D" w:rsidP="00E81BBD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 xml:space="preserve">A nossa </w:t>
      </w:r>
      <w:proofErr w:type="spellStart"/>
      <w:r>
        <w:rPr>
          <w:rFonts w:ascii="Century Gothic" w:hAnsi="Century Gothic" w:cs="Tahoma"/>
          <w:color w:val="000000" w:themeColor="text1"/>
        </w:rPr>
        <w:t>NV</w:t>
      </w:r>
      <w:proofErr w:type="spellEnd"/>
      <w:r>
        <w:rPr>
          <w:rFonts w:ascii="Century Gothic" w:hAnsi="Century Gothic" w:cs="Tahoma"/>
          <w:color w:val="000000" w:themeColor="text1"/>
        </w:rPr>
        <w:t xml:space="preserve"> 451, de 21 de Outubro de 2011, envia para conhecimento dos EM o Ponto de situação constante deste texto;</w:t>
      </w:r>
    </w:p>
    <w:p w:rsidR="009B3B9D" w:rsidRDefault="009B3B9D" w:rsidP="00CE2660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Century Gothic" w:hAnsi="Century Gothic" w:cs="Tahoma"/>
          <w:color w:val="000000" w:themeColor="text1"/>
        </w:rPr>
      </w:pPr>
      <w:r w:rsidRPr="00CE2660">
        <w:rPr>
          <w:rFonts w:ascii="Century Gothic" w:hAnsi="Century Gothic" w:cs="Tahoma"/>
          <w:color w:val="000000" w:themeColor="text1"/>
        </w:rPr>
        <w:t>No 147º CCP, de 20 de Outubro de 2011</w:t>
      </w:r>
      <w:r w:rsidR="00CE2660" w:rsidRPr="00CE2660">
        <w:rPr>
          <w:rFonts w:ascii="Century Gothic" w:hAnsi="Century Gothic" w:cs="Tahoma"/>
          <w:color w:val="000000" w:themeColor="text1"/>
        </w:rPr>
        <w:t>, o</w:t>
      </w:r>
      <w:r w:rsidRPr="00CE2660">
        <w:rPr>
          <w:rFonts w:ascii="Century Gothic" w:hAnsi="Century Gothic" w:cs="Tahoma"/>
          <w:color w:val="000000" w:themeColor="text1"/>
        </w:rPr>
        <w:t xml:space="preserve"> REPER BR indicou que recebera um ponto de situação do </w:t>
      </w:r>
      <w:proofErr w:type="spellStart"/>
      <w:r w:rsidRPr="00CE2660">
        <w:rPr>
          <w:rFonts w:ascii="Century Gothic" w:hAnsi="Century Gothic" w:cs="Tahoma"/>
          <w:color w:val="000000" w:themeColor="text1"/>
        </w:rPr>
        <w:t>SECPLP</w:t>
      </w:r>
      <w:proofErr w:type="spellEnd"/>
      <w:r w:rsidRPr="00CE2660">
        <w:rPr>
          <w:rFonts w:ascii="Century Gothic" w:hAnsi="Century Gothic" w:cs="Tahoma"/>
          <w:color w:val="000000" w:themeColor="text1"/>
        </w:rPr>
        <w:t xml:space="preserve">, considerando ser necessário dar seguimento a esta reunião. O Coordenador anuiu e afirmou que o tema seria mantido em CCP, dado que competirá, pelas Diretrizes aprovadas, ao Ministério da Previdência Social do Brasil desempenhar diretamente as funções pertinentes para dar seguimento ao tema até 3 meses antes da próxima Reunião de Ministros, prevista para 2013. O representante de Portugal disse esperar receber comentários ao Acordo </w:t>
      </w:r>
      <w:proofErr w:type="spellStart"/>
      <w:r w:rsidRPr="00CE2660">
        <w:rPr>
          <w:rFonts w:ascii="Century Gothic" w:hAnsi="Century Gothic" w:cs="Tahoma"/>
          <w:color w:val="000000" w:themeColor="text1"/>
        </w:rPr>
        <w:t>Multisectorial</w:t>
      </w:r>
      <w:proofErr w:type="spellEnd"/>
      <w:r w:rsidRPr="00CE2660">
        <w:rPr>
          <w:rFonts w:ascii="Century Gothic" w:hAnsi="Century Gothic" w:cs="Tahoma"/>
          <w:color w:val="000000" w:themeColor="text1"/>
        </w:rPr>
        <w:t xml:space="preserve"> de Previdência Social da CPLP em tempo útil e que iria insistir junto do </w:t>
      </w:r>
      <w:proofErr w:type="spellStart"/>
      <w:r w:rsidRPr="00CE2660">
        <w:rPr>
          <w:rFonts w:ascii="Century Gothic" w:hAnsi="Century Gothic" w:cs="Tahoma"/>
          <w:color w:val="000000" w:themeColor="text1"/>
        </w:rPr>
        <w:t>respectivo</w:t>
      </w:r>
      <w:proofErr w:type="spellEnd"/>
      <w:r w:rsidRPr="00CE2660">
        <w:rPr>
          <w:rFonts w:ascii="Century Gothic" w:hAnsi="Century Gothic" w:cs="Tahoma"/>
          <w:color w:val="000000" w:themeColor="text1"/>
        </w:rPr>
        <w:t xml:space="preserve"> Ministério.</w:t>
      </w:r>
    </w:p>
    <w:p w:rsidR="00CE2660" w:rsidRDefault="00CE2660" w:rsidP="00CE2660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Century Gothic" w:hAnsi="Century Gothic" w:cs="Tahoma"/>
          <w:color w:val="000000" w:themeColor="text1"/>
        </w:rPr>
      </w:pPr>
      <w:r w:rsidRPr="00CE2660">
        <w:rPr>
          <w:rFonts w:ascii="Century Gothic" w:hAnsi="Century Gothic" w:cs="Tahoma"/>
          <w:color w:val="000000" w:themeColor="text1"/>
        </w:rPr>
        <w:t>No 14</w:t>
      </w:r>
      <w:r>
        <w:rPr>
          <w:rFonts w:ascii="Century Gothic" w:hAnsi="Century Gothic" w:cs="Tahoma"/>
          <w:color w:val="000000" w:themeColor="text1"/>
        </w:rPr>
        <w:t>8</w:t>
      </w:r>
      <w:r w:rsidRPr="00CE2660">
        <w:rPr>
          <w:rFonts w:ascii="Century Gothic" w:hAnsi="Century Gothic" w:cs="Tahoma"/>
          <w:color w:val="000000" w:themeColor="text1"/>
        </w:rPr>
        <w:t xml:space="preserve">º CCP, de </w:t>
      </w:r>
      <w:r>
        <w:rPr>
          <w:rFonts w:ascii="Century Gothic" w:hAnsi="Century Gothic" w:cs="Tahoma"/>
          <w:color w:val="000000" w:themeColor="text1"/>
        </w:rPr>
        <w:t>7 de Dezembro</w:t>
      </w:r>
      <w:r w:rsidRPr="00CE2660">
        <w:rPr>
          <w:rFonts w:ascii="Century Gothic" w:hAnsi="Century Gothic" w:cs="Tahoma"/>
          <w:color w:val="000000" w:themeColor="text1"/>
        </w:rPr>
        <w:t xml:space="preserve"> </w:t>
      </w:r>
      <w:proofErr w:type="spellStart"/>
      <w:r w:rsidRPr="00CE2660">
        <w:rPr>
          <w:rFonts w:ascii="Century Gothic" w:hAnsi="Century Gothic" w:cs="Tahoma"/>
          <w:color w:val="000000" w:themeColor="text1"/>
        </w:rPr>
        <w:t>de</w:t>
      </w:r>
      <w:proofErr w:type="spellEnd"/>
      <w:r w:rsidRPr="00CE2660">
        <w:rPr>
          <w:rFonts w:ascii="Century Gothic" w:hAnsi="Century Gothic" w:cs="Tahoma"/>
          <w:color w:val="000000" w:themeColor="text1"/>
        </w:rPr>
        <w:t xml:space="preserve"> 2011, o REPER </w:t>
      </w:r>
      <w:r>
        <w:rPr>
          <w:rFonts w:ascii="Century Gothic" w:hAnsi="Century Gothic" w:cs="Tahoma"/>
          <w:color w:val="000000" w:themeColor="text1"/>
        </w:rPr>
        <w:t>PT comunicou que o Ministério Português da Segurança Social não considerava o documento circulado pelo Brasil como uma proposta com cariz multilateral, mas sim bilateral;</w:t>
      </w:r>
    </w:p>
    <w:p w:rsidR="002F4038" w:rsidRDefault="00CE2660" w:rsidP="00CE2660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 xml:space="preserve">Em resposta, o Brasil circulou a sua </w:t>
      </w:r>
      <w:proofErr w:type="spellStart"/>
      <w:r>
        <w:rPr>
          <w:rFonts w:ascii="Century Gothic" w:hAnsi="Century Gothic" w:cs="Tahoma"/>
          <w:color w:val="000000" w:themeColor="text1"/>
        </w:rPr>
        <w:t>NV</w:t>
      </w:r>
      <w:proofErr w:type="spellEnd"/>
      <w:r>
        <w:rPr>
          <w:rFonts w:ascii="Century Gothic" w:hAnsi="Century Gothic" w:cs="Tahoma"/>
          <w:color w:val="000000" w:themeColor="text1"/>
        </w:rPr>
        <w:t xml:space="preserve"> 128, de 28 de Dezembro, na qual se reiterou que a proposta circulada era efetivamente, na ó</w:t>
      </w:r>
      <w:r w:rsidR="002F4038">
        <w:rPr>
          <w:rFonts w:ascii="Century Gothic" w:hAnsi="Century Gothic" w:cs="Tahoma"/>
          <w:color w:val="000000" w:themeColor="text1"/>
        </w:rPr>
        <w:t>tica do Brasil, uma minuta de instrumento multilateral, já usada pelo país na celebração de idênticos acordos noutros contextos multilaterais.</w:t>
      </w:r>
    </w:p>
    <w:p w:rsidR="00EC5B2B" w:rsidRDefault="00EC5B2B" w:rsidP="005871D2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291EF9" w:rsidRDefault="00291EF9" w:rsidP="00291EF9">
      <w:pPr>
        <w:jc w:val="center"/>
        <w:rPr>
          <w:rFonts w:ascii="Century Gothic" w:hAnsi="Century Gothic" w:cs="Tahoma"/>
          <w:b/>
        </w:rPr>
      </w:pPr>
    </w:p>
    <w:p w:rsidR="00291EF9" w:rsidRPr="00EC5B2B" w:rsidRDefault="00291EF9" w:rsidP="00291EF9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EC5B2B">
        <w:rPr>
          <w:rFonts w:ascii="Century Gothic" w:hAnsi="Century Gothic" w:cs="Tahoma"/>
          <w:b/>
          <w:sz w:val="20"/>
          <w:szCs w:val="20"/>
        </w:rPr>
        <w:t>2.1.) Acordo Multilateral de Previdência Social da CPLP</w:t>
      </w:r>
    </w:p>
    <w:p w:rsidR="00291EF9" w:rsidRDefault="00291EF9" w:rsidP="00291EF9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496280" w:rsidRDefault="00496280" w:rsidP="00291EF9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932FEA" w:rsidRPr="00932FEA" w:rsidRDefault="002F4038" w:rsidP="005871D2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color w:val="000000" w:themeColor="text1"/>
          <w:sz w:val="22"/>
          <w:szCs w:val="22"/>
        </w:rPr>
        <w:t>T</w:t>
      </w:r>
      <w:r w:rsidR="00496280">
        <w:rPr>
          <w:rFonts w:ascii="Century Gothic" w:hAnsi="Century Gothic" w:cs="Tahoma"/>
          <w:color w:val="000000" w:themeColor="text1"/>
          <w:sz w:val="22"/>
          <w:szCs w:val="22"/>
        </w:rPr>
        <w:t xml:space="preserve">al como estabelecido no Plano de Ação, competirá, pelas Diretrizes </w:t>
      </w:r>
      <w:r w:rsidR="00FC29E4">
        <w:rPr>
          <w:rFonts w:ascii="Century Gothic" w:hAnsi="Century Gothic" w:cs="Tahoma"/>
          <w:color w:val="000000" w:themeColor="text1"/>
          <w:sz w:val="22"/>
          <w:szCs w:val="22"/>
        </w:rPr>
        <w:t xml:space="preserve">nele </w:t>
      </w:r>
      <w:r w:rsidR="00496280">
        <w:rPr>
          <w:rFonts w:ascii="Century Gothic" w:hAnsi="Century Gothic" w:cs="Tahoma"/>
          <w:color w:val="000000" w:themeColor="text1"/>
          <w:sz w:val="22"/>
          <w:szCs w:val="22"/>
        </w:rPr>
        <w:t>aprovadas, ao Ministério</w:t>
      </w:r>
      <w:r w:rsidR="00932FEA">
        <w:rPr>
          <w:rFonts w:ascii="Century Gothic" w:hAnsi="Century Gothic" w:cs="Tahoma"/>
          <w:color w:val="000000" w:themeColor="text1"/>
          <w:sz w:val="22"/>
          <w:szCs w:val="22"/>
        </w:rPr>
        <w:t xml:space="preserve"> da Previdência Social do Brasil </w:t>
      </w:r>
      <w:r w:rsidR="00496280" w:rsidRPr="00932FEA">
        <w:rPr>
          <w:rFonts w:ascii="Century Gothic" w:hAnsi="Century Gothic" w:cs="Tahoma"/>
          <w:color w:val="000000" w:themeColor="text1"/>
          <w:sz w:val="22"/>
          <w:szCs w:val="22"/>
        </w:rPr>
        <w:t xml:space="preserve">desempenhar diretamente </w:t>
      </w:r>
      <w:r w:rsidR="00932FEA" w:rsidRPr="00932FEA">
        <w:rPr>
          <w:rFonts w:ascii="Century Gothic" w:hAnsi="Century Gothic" w:cs="Tahoma"/>
          <w:color w:val="000000" w:themeColor="text1"/>
          <w:sz w:val="22"/>
          <w:szCs w:val="22"/>
        </w:rPr>
        <w:t xml:space="preserve">as funções pertinentes para dar seguimento ao tema até 3 meses antes da XII RMTAS. </w:t>
      </w:r>
    </w:p>
    <w:p w:rsidR="00932FEA" w:rsidRPr="00932FEA" w:rsidRDefault="00932FEA" w:rsidP="005871D2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291EF9" w:rsidRDefault="00932FEA" w:rsidP="005871D2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932FEA">
        <w:rPr>
          <w:rFonts w:ascii="Century Gothic" w:hAnsi="Century Gothic" w:cs="Tahoma"/>
          <w:color w:val="000000" w:themeColor="text1"/>
          <w:sz w:val="22"/>
          <w:szCs w:val="22"/>
        </w:rPr>
        <w:t xml:space="preserve">Essa atividade será a compilação das </w:t>
      </w:r>
      <w:r w:rsidR="00496280" w:rsidRPr="00932FEA">
        <w:rPr>
          <w:rFonts w:ascii="Century Gothic" w:hAnsi="Century Gothic" w:cs="Tahoma"/>
          <w:color w:val="000000" w:themeColor="text1"/>
          <w:sz w:val="22"/>
          <w:szCs w:val="22"/>
        </w:rPr>
        <w:t>estratégias aplicadas por cada País para recomendar políticas que permitam a generalização e o desenvolvimento da integração social</w:t>
      </w:r>
      <w:r w:rsidRPr="00932FEA">
        <w:rPr>
          <w:rFonts w:ascii="Century Gothic" w:hAnsi="Century Gothic" w:cs="Tahoma"/>
          <w:color w:val="000000" w:themeColor="text1"/>
          <w:sz w:val="22"/>
          <w:szCs w:val="22"/>
        </w:rPr>
        <w:t xml:space="preserve"> no seu respetivo contexto. </w:t>
      </w:r>
    </w:p>
    <w:p w:rsidR="00FC29E4" w:rsidRDefault="00FC29E4" w:rsidP="005871D2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FC29E4" w:rsidRPr="00EC5B2B" w:rsidRDefault="00FC29E4" w:rsidP="005871D2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color w:val="000000" w:themeColor="text1"/>
          <w:sz w:val="22"/>
          <w:szCs w:val="22"/>
        </w:rPr>
        <w:t xml:space="preserve">Nesse âmbito, o Brasil enviou já em Janeiro de 2012, a sua </w:t>
      </w:r>
      <w:proofErr w:type="spellStart"/>
      <w:r>
        <w:rPr>
          <w:rFonts w:ascii="Century Gothic" w:hAnsi="Century Gothic" w:cs="Tahoma"/>
          <w:color w:val="000000" w:themeColor="text1"/>
          <w:sz w:val="22"/>
          <w:szCs w:val="22"/>
        </w:rPr>
        <w:t>NV</w:t>
      </w:r>
      <w:proofErr w:type="spellEnd"/>
      <w:r>
        <w:rPr>
          <w:rFonts w:ascii="Century Gothic" w:hAnsi="Century Gothic" w:cs="Tahoma"/>
          <w:color w:val="000000" w:themeColor="text1"/>
          <w:sz w:val="22"/>
          <w:szCs w:val="22"/>
        </w:rPr>
        <w:t xml:space="preserve"> n.º 2, encaminhada aos EM pela nossa </w:t>
      </w:r>
      <w:proofErr w:type="spellStart"/>
      <w:r>
        <w:rPr>
          <w:rFonts w:ascii="Century Gothic" w:hAnsi="Century Gothic" w:cs="Tahoma"/>
          <w:color w:val="000000" w:themeColor="text1"/>
          <w:sz w:val="22"/>
          <w:szCs w:val="22"/>
        </w:rPr>
        <w:t>NV</w:t>
      </w:r>
      <w:proofErr w:type="spellEnd"/>
      <w:r>
        <w:rPr>
          <w:rFonts w:ascii="Century Gothic" w:hAnsi="Century Gothic" w:cs="Tahoma"/>
          <w:color w:val="000000" w:themeColor="text1"/>
          <w:sz w:val="22"/>
          <w:szCs w:val="22"/>
        </w:rPr>
        <w:t xml:space="preserve"> 43, de 11 de Janeiro, que solicita aos EM que apresentem um Ponto de situação sobre o estado da Proteção Social nos seus países e convida os EM a indicarem os seus pontos focais para o exercício acima.</w:t>
      </w:r>
    </w:p>
    <w:p w:rsidR="009B36B3" w:rsidRPr="00EC5B2B" w:rsidRDefault="009B36B3" w:rsidP="009B36B3">
      <w:pPr>
        <w:autoSpaceDE w:val="0"/>
        <w:autoSpaceDN w:val="0"/>
        <w:adjustRightInd w:val="0"/>
        <w:jc w:val="both"/>
        <w:rPr>
          <w:rFonts w:ascii="Century Gothic" w:hAnsi="Century Gothic" w:cs="Courier New"/>
          <w:color w:val="000000" w:themeColor="text1"/>
          <w:sz w:val="22"/>
          <w:szCs w:val="22"/>
          <w:lang w:eastAsia="pt-PT"/>
        </w:rPr>
      </w:pPr>
    </w:p>
    <w:p w:rsidR="009B36B3" w:rsidRDefault="00FC29E4" w:rsidP="009B36B3">
      <w:pPr>
        <w:autoSpaceDE w:val="0"/>
        <w:autoSpaceDN w:val="0"/>
        <w:adjustRightInd w:val="0"/>
        <w:jc w:val="both"/>
        <w:rPr>
          <w:rFonts w:ascii="Century Gothic" w:hAnsi="Century Gothic" w:cs="Courier New"/>
          <w:sz w:val="18"/>
          <w:szCs w:val="18"/>
          <w:lang w:eastAsia="pt-PT"/>
        </w:rPr>
      </w:pPr>
      <w:r>
        <w:rPr>
          <w:rFonts w:ascii="Century Gothic" w:hAnsi="Century Gothic" w:cs="Courier New"/>
          <w:sz w:val="18"/>
          <w:szCs w:val="18"/>
          <w:lang w:eastAsia="pt-PT"/>
        </w:rPr>
        <w:t xml:space="preserve">13 </w:t>
      </w:r>
      <w:proofErr w:type="gramStart"/>
      <w:r>
        <w:rPr>
          <w:rFonts w:ascii="Century Gothic" w:hAnsi="Century Gothic" w:cs="Courier New"/>
          <w:sz w:val="18"/>
          <w:szCs w:val="18"/>
          <w:lang w:eastAsia="pt-PT"/>
        </w:rPr>
        <w:t>de</w:t>
      </w:r>
      <w:proofErr w:type="gramEnd"/>
      <w:r>
        <w:rPr>
          <w:rFonts w:ascii="Century Gothic" w:hAnsi="Century Gothic" w:cs="Courier New"/>
          <w:sz w:val="18"/>
          <w:szCs w:val="18"/>
          <w:lang w:eastAsia="pt-PT"/>
        </w:rPr>
        <w:t xml:space="preserve"> Janeiro de 2012</w:t>
      </w:r>
    </w:p>
    <w:p w:rsidR="00B23F60" w:rsidRPr="00200296" w:rsidRDefault="00B23F60" w:rsidP="009B36B3">
      <w:pPr>
        <w:autoSpaceDE w:val="0"/>
        <w:autoSpaceDN w:val="0"/>
        <w:adjustRightInd w:val="0"/>
        <w:jc w:val="both"/>
        <w:rPr>
          <w:rFonts w:ascii="Century Gothic" w:hAnsi="Century Gothic" w:cs="Courier New"/>
          <w:sz w:val="18"/>
          <w:szCs w:val="18"/>
          <w:lang w:eastAsia="pt-PT"/>
        </w:rPr>
      </w:pPr>
      <w:r>
        <w:rPr>
          <w:rFonts w:ascii="Century Gothic" w:hAnsi="Century Gothic" w:cs="Courier New"/>
          <w:sz w:val="18"/>
          <w:szCs w:val="18"/>
          <w:lang w:eastAsia="pt-PT"/>
        </w:rPr>
        <w:t>Manuel Clarote Lapão</w:t>
      </w:r>
    </w:p>
    <w:p w:rsidR="00AE0BD0" w:rsidRPr="00200296" w:rsidRDefault="009B36B3" w:rsidP="00FC29E4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200296">
        <w:rPr>
          <w:rFonts w:ascii="Century Gothic" w:hAnsi="Century Gothic" w:cs="Courier New"/>
          <w:sz w:val="18"/>
          <w:szCs w:val="18"/>
          <w:lang w:eastAsia="pt-PT"/>
        </w:rPr>
        <w:t>Dire</w:t>
      </w:r>
      <w:r w:rsidR="00B23F60">
        <w:rPr>
          <w:rFonts w:ascii="Century Gothic" w:hAnsi="Century Gothic" w:cs="Courier New"/>
          <w:sz w:val="18"/>
          <w:szCs w:val="18"/>
          <w:lang w:eastAsia="pt-PT"/>
        </w:rPr>
        <w:t>tor</w:t>
      </w:r>
      <w:r w:rsidRPr="00200296">
        <w:rPr>
          <w:rFonts w:ascii="Century Gothic" w:hAnsi="Century Gothic" w:cs="Courier New"/>
          <w:sz w:val="18"/>
          <w:szCs w:val="18"/>
          <w:lang w:eastAsia="pt-PT"/>
        </w:rPr>
        <w:t xml:space="preserve"> de Cooperação</w:t>
      </w:r>
    </w:p>
    <w:sectPr w:rsidR="00AE0BD0" w:rsidRPr="00200296" w:rsidSect="000868C9">
      <w:headerReference w:type="default" r:id="rId7"/>
      <w:footerReference w:type="even" r:id="rId8"/>
      <w:footerReference w:type="default" r:id="rId9"/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22" w:rsidRDefault="001C4F22">
      <w:r>
        <w:separator/>
      </w:r>
    </w:p>
  </w:endnote>
  <w:endnote w:type="continuationSeparator" w:id="0">
    <w:p w:rsidR="001C4F22" w:rsidRDefault="001C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D0" w:rsidRDefault="00925719" w:rsidP="00F604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0B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BD0" w:rsidRDefault="00AE0BD0" w:rsidP="004E0BB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D0" w:rsidRPr="000868C9" w:rsidRDefault="00925719" w:rsidP="00F60486">
    <w:pPr>
      <w:pStyle w:val="Rodap"/>
      <w:framePr w:wrap="around" w:vAnchor="text" w:hAnchor="margin" w:xAlign="right" w:y="1"/>
      <w:rPr>
        <w:rStyle w:val="Nmerodepgina"/>
        <w:rFonts w:ascii="Century Gothic" w:hAnsi="Century Gothic"/>
        <w:sz w:val="20"/>
        <w:szCs w:val="20"/>
      </w:rPr>
    </w:pPr>
    <w:r w:rsidRPr="000868C9">
      <w:rPr>
        <w:rStyle w:val="Nmerodepgina"/>
        <w:rFonts w:ascii="Century Gothic" w:hAnsi="Century Gothic"/>
        <w:sz w:val="20"/>
        <w:szCs w:val="20"/>
      </w:rPr>
      <w:fldChar w:fldCharType="begin"/>
    </w:r>
    <w:r w:rsidR="00AE0BD0" w:rsidRPr="000868C9">
      <w:rPr>
        <w:rStyle w:val="Nmerodepgina"/>
        <w:rFonts w:ascii="Century Gothic" w:hAnsi="Century Gothic"/>
        <w:sz w:val="20"/>
        <w:szCs w:val="20"/>
      </w:rPr>
      <w:instrText xml:space="preserve">PAGE  </w:instrText>
    </w:r>
    <w:r w:rsidRPr="000868C9">
      <w:rPr>
        <w:rStyle w:val="Nmerodepgina"/>
        <w:rFonts w:ascii="Century Gothic" w:hAnsi="Century Gothic"/>
        <w:sz w:val="20"/>
        <w:szCs w:val="20"/>
      </w:rPr>
      <w:fldChar w:fldCharType="separate"/>
    </w:r>
    <w:r w:rsidR="00FC29E4">
      <w:rPr>
        <w:rStyle w:val="Nmerodepgina"/>
        <w:rFonts w:ascii="Century Gothic" w:hAnsi="Century Gothic"/>
        <w:noProof/>
        <w:sz w:val="20"/>
        <w:szCs w:val="20"/>
      </w:rPr>
      <w:t>1</w:t>
    </w:r>
    <w:r w:rsidRPr="000868C9">
      <w:rPr>
        <w:rStyle w:val="Nmerodepgina"/>
        <w:rFonts w:ascii="Century Gothic" w:hAnsi="Century Gothic"/>
        <w:sz w:val="20"/>
        <w:szCs w:val="20"/>
      </w:rPr>
      <w:fldChar w:fldCharType="end"/>
    </w:r>
  </w:p>
  <w:p w:rsidR="00AE0BD0" w:rsidRDefault="00AE0B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22" w:rsidRDefault="001C4F22">
      <w:r>
        <w:separator/>
      </w:r>
    </w:p>
  </w:footnote>
  <w:footnote w:type="continuationSeparator" w:id="0">
    <w:p w:rsidR="001C4F22" w:rsidRDefault="001C4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D0" w:rsidRDefault="00200296" w:rsidP="004E0BB3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409575" cy="561975"/>
          <wp:effectExtent l="19050" t="0" r="9525" b="0"/>
          <wp:docPr id="1" name="Imagem 1" descr="logo_CPLP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LP_pe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0BD0" w:rsidRDefault="00AE0BD0" w:rsidP="004E0BB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11D"/>
    <w:multiLevelType w:val="hybridMultilevel"/>
    <w:tmpl w:val="7EB4399C"/>
    <w:lvl w:ilvl="0" w:tplc="AB021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E5EEC"/>
    <w:multiLevelType w:val="hybridMultilevel"/>
    <w:tmpl w:val="8AFC5F5A"/>
    <w:lvl w:ilvl="0" w:tplc="5128CFB2">
      <w:start w:val="10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522F7"/>
    <w:multiLevelType w:val="hybridMultilevel"/>
    <w:tmpl w:val="180A86F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44857"/>
    <w:multiLevelType w:val="hybridMultilevel"/>
    <w:tmpl w:val="C9181C7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B595B"/>
    <w:multiLevelType w:val="hybridMultilevel"/>
    <w:tmpl w:val="A7BA382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E74A7A"/>
    <w:multiLevelType w:val="hybridMultilevel"/>
    <w:tmpl w:val="D382D7F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57FFB"/>
    <w:multiLevelType w:val="hybridMultilevel"/>
    <w:tmpl w:val="3B24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2F5EFD"/>
    <w:multiLevelType w:val="hybridMultilevel"/>
    <w:tmpl w:val="C0C4B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A7F9F"/>
    <w:multiLevelType w:val="hybridMultilevel"/>
    <w:tmpl w:val="ACD6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A11D4"/>
    <w:multiLevelType w:val="hybridMultilevel"/>
    <w:tmpl w:val="2F58D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22E9C"/>
    <w:multiLevelType w:val="hybridMultilevel"/>
    <w:tmpl w:val="9714633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84219"/>
    <w:multiLevelType w:val="hybridMultilevel"/>
    <w:tmpl w:val="E3EA0DE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71086"/>
    <w:multiLevelType w:val="hybridMultilevel"/>
    <w:tmpl w:val="F282FB80"/>
    <w:lvl w:ilvl="0" w:tplc="EAEAA1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03C53"/>
    <w:multiLevelType w:val="hybridMultilevel"/>
    <w:tmpl w:val="0D6656FC"/>
    <w:lvl w:ilvl="0" w:tplc="AF306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A0840"/>
    <w:multiLevelType w:val="hybridMultilevel"/>
    <w:tmpl w:val="83EEAA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05846"/>
    <w:multiLevelType w:val="hybridMultilevel"/>
    <w:tmpl w:val="757EC0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C14EE"/>
    <w:multiLevelType w:val="hybridMultilevel"/>
    <w:tmpl w:val="58D43DB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4D778D"/>
    <w:multiLevelType w:val="hybridMultilevel"/>
    <w:tmpl w:val="75D603FA"/>
    <w:lvl w:ilvl="0" w:tplc="3320C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19A6D32"/>
    <w:multiLevelType w:val="hybridMultilevel"/>
    <w:tmpl w:val="486AA2F2"/>
    <w:lvl w:ilvl="0" w:tplc="92621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5ED5608"/>
    <w:multiLevelType w:val="hybridMultilevel"/>
    <w:tmpl w:val="51BE7AD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B69CF"/>
    <w:multiLevelType w:val="hybridMultilevel"/>
    <w:tmpl w:val="BDF63E0A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F46B0"/>
    <w:multiLevelType w:val="hybridMultilevel"/>
    <w:tmpl w:val="84A8CA92"/>
    <w:lvl w:ilvl="0" w:tplc="A1FE04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2621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92621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C7CEF"/>
    <w:multiLevelType w:val="hybridMultilevel"/>
    <w:tmpl w:val="42A896C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EB47AE"/>
    <w:multiLevelType w:val="hybridMultilevel"/>
    <w:tmpl w:val="DA8257BE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AE5BFF"/>
    <w:multiLevelType w:val="hybridMultilevel"/>
    <w:tmpl w:val="A010F31A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59979D9"/>
    <w:multiLevelType w:val="hybridMultilevel"/>
    <w:tmpl w:val="B142B024"/>
    <w:lvl w:ilvl="0" w:tplc="AF30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306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106A5"/>
    <w:multiLevelType w:val="hybridMultilevel"/>
    <w:tmpl w:val="2E608B8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D7570E"/>
    <w:multiLevelType w:val="hybridMultilevel"/>
    <w:tmpl w:val="9296E68A"/>
    <w:lvl w:ilvl="0" w:tplc="0816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329C5"/>
    <w:multiLevelType w:val="hybridMultilevel"/>
    <w:tmpl w:val="6894701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477936"/>
    <w:multiLevelType w:val="hybridMultilevel"/>
    <w:tmpl w:val="7CBA4E68"/>
    <w:lvl w:ilvl="0" w:tplc="DC3EC20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4"/>
  </w:num>
  <w:num w:numId="5">
    <w:abstractNumId w:val="24"/>
  </w:num>
  <w:num w:numId="6">
    <w:abstractNumId w:val="6"/>
  </w:num>
  <w:num w:numId="7">
    <w:abstractNumId w:val="8"/>
  </w:num>
  <w:num w:numId="8">
    <w:abstractNumId w:val="21"/>
  </w:num>
  <w:num w:numId="9">
    <w:abstractNumId w:val="18"/>
  </w:num>
  <w:num w:numId="10">
    <w:abstractNumId w:val="2"/>
  </w:num>
  <w:num w:numId="11">
    <w:abstractNumId w:val="26"/>
  </w:num>
  <w:num w:numId="12">
    <w:abstractNumId w:val="4"/>
  </w:num>
  <w:num w:numId="13">
    <w:abstractNumId w:val="29"/>
  </w:num>
  <w:num w:numId="14">
    <w:abstractNumId w:val="5"/>
  </w:num>
  <w:num w:numId="15">
    <w:abstractNumId w:val="27"/>
  </w:num>
  <w:num w:numId="16">
    <w:abstractNumId w:val="1"/>
  </w:num>
  <w:num w:numId="17">
    <w:abstractNumId w:val="22"/>
  </w:num>
  <w:num w:numId="18">
    <w:abstractNumId w:val="19"/>
  </w:num>
  <w:num w:numId="19">
    <w:abstractNumId w:val="28"/>
  </w:num>
  <w:num w:numId="20">
    <w:abstractNumId w:val="25"/>
  </w:num>
  <w:num w:numId="21">
    <w:abstractNumId w:val="1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17"/>
  </w:num>
  <w:num w:numId="28">
    <w:abstractNumId w:val="12"/>
  </w:num>
  <w:num w:numId="29">
    <w:abstractNumId w:val="2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AD9"/>
    <w:rsid w:val="0002542E"/>
    <w:rsid w:val="00040871"/>
    <w:rsid w:val="00083E93"/>
    <w:rsid w:val="000868C9"/>
    <w:rsid w:val="000A7481"/>
    <w:rsid w:val="000B7C97"/>
    <w:rsid w:val="000C7223"/>
    <w:rsid w:val="000D0CE4"/>
    <w:rsid w:val="000D0E34"/>
    <w:rsid w:val="000F353E"/>
    <w:rsid w:val="00102B2E"/>
    <w:rsid w:val="00120405"/>
    <w:rsid w:val="00135EA9"/>
    <w:rsid w:val="00137414"/>
    <w:rsid w:val="00156D32"/>
    <w:rsid w:val="00157CD7"/>
    <w:rsid w:val="001620C4"/>
    <w:rsid w:val="00164CE7"/>
    <w:rsid w:val="00173AD2"/>
    <w:rsid w:val="0017785F"/>
    <w:rsid w:val="00195B73"/>
    <w:rsid w:val="00196ECE"/>
    <w:rsid w:val="001A3AF4"/>
    <w:rsid w:val="001A6CC1"/>
    <w:rsid w:val="001C4F22"/>
    <w:rsid w:val="001E5705"/>
    <w:rsid w:val="00200296"/>
    <w:rsid w:val="00216AB4"/>
    <w:rsid w:val="002170C4"/>
    <w:rsid w:val="00220031"/>
    <w:rsid w:val="0024072B"/>
    <w:rsid w:val="00291EF9"/>
    <w:rsid w:val="002B70EE"/>
    <w:rsid w:val="002E1507"/>
    <w:rsid w:val="002F4038"/>
    <w:rsid w:val="0031676D"/>
    <w:rsid w:val="00353064"/>
    <w:rsid w:val="003B4109"/>
    <w:rsid w:val="003C0B93"/>
    <w:rsid w:val="003C2F1D"/>
    <w:rsid w:val="003E06E0"/>
    <w:rsid w:val="003E5782"/>
    <w:rsid w:val="003E5B34"/>
    <w:rsid w:val="003E77E7"/>
    <w:rsid w:val="00412804"/>
    <w:rsid w:val="00456575"/>
    <w:rsid w:val="00460CB7"/>
    <w:rsid w:val="00467C77"/>
    <w:rsid w:val="00477517"/>
    <w:rsid w:val="0048062C"/>
    <w:rsid w:val="00493A26"/>
    <w:rsid w:val="00496280"/>
    <w:rsid w:val="004A5AD9"/>
    <w:rsid w:val="004B3C08"/>
    <w:rsid w:val="004E0BB3"/>
    <w:rsid w:val="004E38F9"/>
    <w:rsid w:val="0050339E"/>
    <w:rsid w:val="00511BCB"/>
    <w:rsid w:val="00520F5E"/>
    <w:rsid w:val="0056134B"/>
    <w:rsid w:val="005707D8"/>
    <w:rsid w:val="00576B81"/>
    <w:rsid w:val="005871D2"/>
    <w:rsid w:val="005900BD"/>
    <w:rsid w:val="005937F5"/>
    <w:rsid w:val="00595D1C"/>
    <w:rsid w:val="005A517A"/>
    <w:rsid w:val="005F60FD"/>
    <w:rsid w:val="005F78DF"/>
    <w:rsid w:val="00605CFE"/>
    <w:rsid w:val="00625CFB"/>
    <w:rsid w:val="0064224E"/>
    <w:rsid w:val="006436B8"/>
    <w:rsid w:val="0066247A"/>
    <w:rsid w:val="00667907"/>
    <w:rsid w:val="00684E11"/>
    <w:rsid w:val="006A15F2"/>
    <w:rsid w:val="006A1C61"/>
    <w:rsid w:val="006A37B4"/>
    <w:rsid w:val="006D4277"/>
    <w:rsid w:val="006D556C"/>
    <w:rsid w:val="006D68F2"/>
    <w:rsid w:val="00717629"/>
    <w:rsid w:val="00754EF4"/>
    <w:rsid w:val="00785854"/>
    <w:rsid w:val="007B40A0"/>
    <w:rsid w:val="007B475D"/>
    <w:rsid w:val="007C07AF"/>
    <w:rsid w:val="007C2494"/>
    <w:rsid w:val="007D7C4E"/>
    <w:rsid w:val="00823ECD"/>
    <w:rsid w:val="00840B0F"/>
    <w:rsid w:val="008702AD"/>
    <w:rsid w:val="008B5CAE"/>
    <w:rsid w:val="008F308F"/>
    <w:rsid w:val="00901359"/>
    <w:rsid w:val="00925719"/>
    <w:rsid w:val="00932FEA"/>
    <w:rsid w:val="009333F4"/>
    <w:rsid w:val="00933B21"/>
    <w:rsid w:val="009435E3"/>
    <w:rsid w:val="00953135"/>
    <w:rsid w:val="00960B0A"/>
    <w:rsid w:val="0097357C"/>
    <w:rsid w:val="00975F97"/>
    <w:rsid w:val="009B36B3"/>
    <w:rsid w:val="009B3B9D"/>
    <w:rsid w:val="009C2A32"/>
    <w:rsid w:val="009F08F3"/>
    <w:rsid w:val="00A80B5B"/>
    <w:rsid w:val="00A9399F"/>
    <w:rsid w:val="00AB538C"/>
    <w:rsid w:val="00AE0BD0"/>
    <w:rsid w:val="00AF0FD8"/>
    <w:rsid w:val="00AF1BBE"/>
    <w:rsid w:val="00B23F60"/>
    <w:rsid w:val="00B33610"/>
    <w:rsid w:val="00B374B8"/>
    <w:rsid w:val="00B378F0"/>
    <w:rsid w:val="00B4419E"/>
    <w:rsid w:val="00B606D1"/>
    <w:rsid w:val="00B635C7"/>
    <w:rsid w:val="00B70093"/>
    <w:rsid w:val="00B74183"/>
    <w:rsid w:val="00B748D2"/>
    <w:rsid w:val="00B74B8C"/>
    <w:rsid w:val="00BA57C8"/>
    <w:rsid w:val="00BF140E"/>
    <w:rsid w:val="00BF16FA"/>
    <w:rsid w:val="00C41B40"/>
    <w:rsid w:val="00C50AE6"/>
    <w:rsid w:val="00C63E24"/>
    <w:rsid w:val="00C677AB"/>
    <w:rsid w:val="00CA7B17"/>
    <w:rsid w:val="00CC5830"/>
    <w:rsid w:val="00CD45B4"/>
    <w:rsid w:val="00CE2660"/>
    <w:rsid w:val="00D73F47"/>
    <w:rsid w:val="00DA5E84"/>
    <w:rsid w:val="00DB01C6"/>
    <w:rsid w:val="00DB7B33"/>
    <w:rsid w:val="00E14384"/>
    <w:rsid w:val="00E154FA"/>
    <w:rsid w:val="00E41E17"/>
    <w:rsid w:val="00E474B2"/>
    <w:rsid w:val="00E67141"/>
    <w:rsid w:val="00E81BBD"/>
    <w:rsid w:val="00E96DE1"/>
    <w:rsid w:val="00EA1B86"/>
    <w:rsid w:val="00EA1F4D"/>
    <w:rsid w:val="00EC5B2B"/>
    <w:rsid w:val="00F01D34"/>
    <w:rsid w:val="00F57C7A"/>
    <w:rsid w:val="00F60486"/>
    <w:rsid w:val="00F80A78"/>
    <w:rsid w:val="00F83E8A"/>
    <w:rsid w:val="00F9001F"/>
    <w:rsid w:val="00FA05D3"/>
    <w:rsid w:val="00FB7A86"/>
    <w:rsid w:val="00FC1D84"/>
    <w:rsid w:val="00FC29E4"/>
    <w:rsid w:val="00FD5509"/>
    <w:rsid w:val="00FD73FF"/>
    <w:rsid w:val="00FE0201"/>
    <w:rsid w:val="00FE4E0F"/>
    <w:rsid w:val="00FE7618"/>
    <w:rsid w:val="00FF3FEB"/>
    <w:rsid w:val="00FF4DF3"/>
    <w:rsid w:val="00F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8F2"/>
    <w:rPr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arcter"/>
    <w:qFormat/>
    <w:rsid w:val="00511B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4E0BB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0BB3"/>
  </w:style>
  <w:style w:type="paragraph" w:styleId="Cabealho">
    <w:name w:val="header"/>
    <w:basedOn w:val="Normal"/>
    <w:link w:val="CabealhoCarcter"/>
    <w:uiPriority w:val="99"/>
    <w:rsid w:val="004E0BB3"/>
    <w:pPr>
      <w:tabs>
        <w:tab w:val="center" w:pos="4252"/>
        <w:tab w:val="right" w:pos="8504"/>
      </w:tabs>
    </w:pPr>
  </w:style>
  <w:style w:type="character" w:customStyle="1" w:styleId="Ttulo3Carcter">
    <w:name w:val="Título 3 Carácter"/>
    <w:basedOn w:val="Tipodeletrapredefinidodopargrafo"/>
    <w:link w:val="Ttulo3"/>
    <w:rsid w:val="00511BCB"/>
    <w:rPr>
      <w:rFonts w:ascii="Cambria" w:eastAsia="Times New Roman" w:hAnsi="Cambria" w:cs="Times New Roman"/>
      <w:b/>
      <w:bCs/>
      <w:sz w:val="26"/>
      <w:szCs w:val="26"/>
      <w:lang w:val="pt-PT" w:eastAsia="zh-CN"/>
    </w:rPr>
  </w:style>
  <w:style w:type="paragraph" w:styleId="Corpodetexto">
    <w:name w:val="Body Text"/>
    <w:basedOn w:val="Normal"/>
    <w:rsid w:val="002170C4"/>
    <w:rPr>
      <w:rFonts w:eastAsia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2170C4"/>
    <w:pPr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Tipodeletrapredefinidodopargrafo"/>
    <w:semiHidden/>
    <w:rsid w:val="002170C4"/>
    <w:rPr>
      <w:vertAlign w:val="superscript"/>
    </w:rPr>
  </w:style>
  <w:style w:type="paragraph" w:styleId="Mapadodocumento">
    <w:name w:val="Document Map"/>
    <w:basedOn w:val="Normal"/>
    <w:semiHidden/>
    <w:rsid w:val="002200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arcter"/>
    <w:rsid w:val="005900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900BD"/>
    <w:rPr>
      <w:rFonts w:ascii="Tahoma" w:hAnsi="Tahoma" w:cs="Tahoma"/>
      <w:sz w:val="16"/>
      <w:szCs w:val="16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378F0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A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B3B9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1077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Diáspora Angolana em Portugal</vt:lpstr>
      <vt:lpstr>Diáspora Angolana em Portugal</vt:lpstr>
    </vt:vector>
  </TitlesOfParts>
  <Company>CPLP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Diáspora Angolana em Portugal</dc:title>
  <dc:subject/>
  <dc:creator>mlapao</dc:creator>
  <cp:keywords/>
  <cp:lastModifiedBy>Manuel Clarote Lapão</cp:lastModifiedBy>
  <cp:revision>7</cp:revision>
  <cp:lastPrinted>2010-10-19T17:10:00Z</cp:lastPrinted>
  <dcterms:created xsi:type="dcterms:W3CDTF">2011-10-19T11:24:00Z</dcterms:created>
  <dcterms:modified xsi:type="dcterms:W3CDTF">2012-01-13T16:00:00Z</dcterms:modified>
</cp:coreProperties>
</file>